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9F392E" w:rsidRDefault="009F392E" w:rsidP="008D4022">
      <w:pPr>
        <w:pStyle w:val="Odstavecseseznamem"/>
        <w:spacing w:after="0"/>
        <w:rPr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8D4022" w:rsidRPr="008D4022" w:rsidRDefault="008D4022" w:rsidP="008D4022">
      <w:pPr>
        <w:keepNext/>
        <w:keepLines/>
        <w:spacing w:before="120" w:after="0"/>
        <w:outlineLvl w:val="0"/>
        <w:rPr>
          <w:rFonts w:eastAsia="Times New Roman" w:cs="Times New Roman"/>
          <w:b/>
          <w:bCs/>
          <w:color w:val="365F91"/>
          <w:sz w:val="28"/>
          <w:szCs w:val="28"/>
        </w:rPr>
      </w:pPr>
      <w:r w:rsidRPr="008D4022">
        <w:rPr>
          <w:rFonts w:eastAsia="Times New Roman" w:cs="Times New Roman"/>
          <w:b/>
          <w:bCs/>
          <w:color w:val="365F91"/>
          <w:sz w:val="28"/>
          <w:szCs w:val="28"/>
        </w:rPr>
        <w:t>SAP PM – údržba kolejových vozidel</w:t>
      </w:r>
    </w:p>
    <w:p w:rsidR="008D4022" w:rsidRPr="008D4022" w:rsidRDefault="008D4022" w:rsidP="008D4022">
      <w:pPr>
        <w:rPr>
          <w:rFonts w:eastAsia="Calibri" w:cs="Times New Roman"/>
        </w:rPr>
      </w:pPr>
    </w:p>
    <w:p w:rsidR="008D4022" w:rsidRPr="008D4022" w:rsidRDefault="008D4022" w:rsidP="008D4022">
      <w:pPr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Předpokládaná doba realizace pro jednotlivé požadavky je  uveden níže „T“ + X kalendářních dní, kde hodnota „T“ je okamžik účinnosti uzavřené smlouvy. </w:t>
      </w:r>
    </w:p>
    <w:p w:rsidR="008D4022" w:rsidRPr="008D4022" w:rsidRDefault="008D4022" w:rsidP="008D4022">
      <w:pPr>
        <w:keepNext/>
        <w:keepLines/>
        <w:numPr>
          <w:ilvl w:val="1"/>
          <w:numId w:val="0"/>
        </w:numPr>
        <w:spacing w:before="240" w:after="60" w:line="264" w:lineRule="auto"/>
        <w:ind w:left="576" w:hanging="576"/>
        <w:outlineLvl w:val="1"/>
        <w:rPr>
          <w:rFonts w:eastAsia="Times New Roman" w:cs="Times New Roman"/>
          <w:b/>
          <w:bCs/>
          <w:color w:val="4F81BD"/>
          <w:sz w:val="26"/>
          <w:szCs w:val="26"/>
        </w:rPr>
      </w:pPr>
      <w:r w:rsidRPr="008D4022">
        <w:rPr>
          <w:rFonts w:eastAsia="Times New Roman" w:cs="Times New Roman"/>
          <w:b/>
          <w:bCs/>
          <w:color w:val="4F81BD"/>
          <w:sz w:val="26"/>
          <w:szCs w:val="26"/>
        </w:rPr>
        <w:t>Seznam požadovaných úprav</w:t>
      </w: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Verdana"/>
          <w:color w:val="000000"/>
          <w:szCs w:val="20"/>
        </w:rPr>
      </w:pPr>
      <w:r w:rsidRPr="008D4022">
        <w:rPr>
          <w:rFonts w:eastAsia="Times New Roman" w:cs="Times New Roman"/>
          <w:b/>
          <w:bCs/>
          <w:color w:val="4F81BD"/>
        </w:rPr>
        <w:t>Vytvoření zákaznické záložky „Dvojkolí“ na objektu Vybavení</w:t>
      </w:r>
    </w:p>
    <w:p w:rsidR="008D4022" w:rsidRPr="008D4022" w:rsidRDefault="008D4022" w:rsidP="008D4022">
      <w:pPr>
        <w:ind w:left="360"/>
        <w:contextualSpacing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 + 45 dní.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 xml:space="preserve">Popis požadavku 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Verdana"/>
          <w:color w:val="000000"/>
          <w:szCs w:val="20"/>
        </w:rPr>
      </w:pP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Na dvojkolí SŽ bude evidovat následující hodnoty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Míra rozkolí 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Průměr Kol 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Tloušťka okolku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Výška okolku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Strmost okolku 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Rozchod dvojkolí – výpočet z hodnot „Míra rozkolí“ – nastaveny kontroly na povolené hodnoty</w:t>
      </w:r>
    </w:p>
    <w:p w:rsidR="008D4022" w:rsidRPr="008D4022" w:rsidRDefault="008D4022" w:rsidP="008D4022">
      <w:pPr>
        <w:numPr>
          <w:ilvl w:val="0"/>
          <w:numId w:val="6"/>
        </w:numPr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Vodící šířka dvojkolí – výpočet z hodnot „Míra rozkolí“ – nastaveny kontroly na povolené hodnoty</w:t>
      </w:r>
    </w:p>
    <w:tbl>
      <w:tblPr>
        <w:tblW w:w="0" w:type="auto"/>
        <w:tblInd w:w="1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7"/>
        <w:gridCol w:w="1606"/>
        <w:gridCol w:w="211"/>
        <w:gridCol w:w="1314"/>
        <w:gridCol w:w="211"/>
        <w:gridCol w:w="976"/>
        <w:gridCol w:w="211"/>
      </w:tblGrid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Návrh vzhledu karty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8D4022" w:rsidRPr="008D4022" w:rsidTr="00A43193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hodnoty v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Míra rozkolí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1361,00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1361,50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1360,30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Rozchod dvojkolí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1422,50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Vodící šířka dvojkolí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1392,50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kola vlevo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kola vpravo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Tloušťka okolku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Výška okolku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29,00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Strmost okolku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8D4022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</w:p>
        </w:tc>
      </w:tr>
      <w:tr w:rsidR="008D4022" w:rsidRPr="008D4022" w:rsidTr="00A4319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22" w:rsidRPr="008D4022" w:rsidRDefault="008D4022" w:rsidP="008D40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Verdana"/>
          <w:color w:val="000000"/>
          <w:szCs w:val="20"/>
        </w:rPr>
      </w:pPr>
    </w:p>
    <w:p w:rsidR="008D4022" w:rsidRPr="008D4022" w:rsidRDefault="008D4022" w:rsidP="008D4022">
      <w:pPr>
        <w:ind w:left="720"/>
        <w:jc w:val="both"/>
        <w:rPr>
          <w:rFonts w:eastAsia="Calibri" w:cs="Verdana"/>
          <w:color w:val="000000"/>
          <w:szCs w:val="20"/>
        </w:rPr>
      </w:pPr>
      <w:r w:rsidRPr="008D4022">
        <w:rPr>
          <w:rFonts w:eastAsia="Calibri" w:cs="Verdana"/>
          <w:color w:val="000000"/>
          <w:szCs w:val="20"/>
        </w:rPr>
        <w:t xml:space="preserve">Pro daná pole bude sledována časová závislost a historie, včetně informace, </w:t>
      </w:r>
      <w:proofErr w:type="gramStart"/>
      <w:r w:rsidRPr="008D4022">
        <w:rPr>
          <w:rFonts w:eastAsia="Calibri" w:cs="Verdana"/>
          <w:color w:val="000000"/>
          <w:szCs w:val="20"/>
        </w:rPr>
        <w:t>zda-</w:t>
      </w:r>
      <w:proofErr w:type="spellStart"/>
      <w:r w:rsidRPr="008D4022">
        <w:rPr>
          <w:rFonts w:eastAsia="Calibri" w:cs="Verdana"/>
          <w:color w:val="000000"/>
          <w:szCs w:val="20"/>
        </w:rPr>
        <w:t>li</w:t>
      </w:r>
      <w:proofErr w:type="spellEnd"/>
      <w:r w:rsidRPr="008D4022">
        <w:rPr>
          <w:rFonts w:eastAsia="Calibri" w:cs="Verdana"/>
          <w:color w:val="000000"/>
          <w:szCs w:val="20"/>
        </w:rPr>
        <w:t xml:space="preserve"> se</w:t>
      </w:r>
      <w:proofErr w:type="gramEnd"/>
      <w:r w:rsidRPr="008D4022">
        <w:rPr>
          <w:rFonts w:eastAsia="Calibri" w:cs="Verdana"/>
          <w:color w:val="000000"/>
          <w:szCs w:val="20"/>
        </w:rPr>
        <w:t xml:space="preserve"> hodnoty týkají dvojkolí zavázaného pod vozidlem (instalovaného na vozidle) či dvojkolí vyvázaného (deinstalováno z vozidla).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Na polích „Rozchod dvojkolí“, „Vodící šířka dvojkolí“ polích budou definovány pravidla odvozování hodnot z manuálně zadávaných hodnot „Míra rozkolí“. V poli „Strmost okolku“ bude stanovena kontrola na zadávané hodnoty.  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Logika odvozování polí Rozchod dvojkolí a vodící šířka dvojkolí v rámci přílohy – DNS Dvojkolí – žlutě označená část </w:t>
      </w:r>
      <w:proofErr w:type="spellStart"/>
      <w:r w:rsidRPr="008D4022">
        <w:rPr>
          <w:rFonts w:eastAsia="Calibri" w:cs="Times New Roman"/>
        </w:rPr>
        <w:t>Excelového</w:t>
      </w:r>
      <w:proofErr w:type="spellEnd"/>
      <w:r w:rsidRPr="008D4022">
        <w:rPr>
          <w:rFonts w:eastAsia="Calibri" w:cs="Times New Roman"/>
        </w:rPr>
        <w:t xml:space="preserve"> souboru.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Pro položky bude sledována časová závislost a historie. Pro vytvoření zákaznické záložky je požadováno využít v maximální míře standardních objektů, jež SAP poskytuje pro tyto úpravy (např. standardních </w:t>
      </w:r>
      <w:proofErr w:type="spellStart"/>
      <w:r w:rsidRPr="008D4022">
        <w:rPr>
          <w:rFonts w:eastAsia="Calibri" w:cs="Times New Roman"/>
        </w:rPr>
        <w:t>userexitů</w:t>
      </w:r>
      <w:proofErr w:type="spellEnd"/>
      <w:r w:rsidRPr="008D4022">
        <w:rPr>
          <w:rFonts w:eastAsia="Calibri" w:cs="Times New Roman"/>
        </w:rPr>
        <w:t xml:space="preserve">). Hodnoty, jež mohou být v budoucnu měnitelné, budou uloženy v zákaznické </w:t>
      </w:r>
      <w:proofErr w:type="spellStart"/>
      <w:r w:rsidRPr="008D4022">
        <w:rPr>
          <w:rFonts w:eastAsia="Calibri" w:cs="Times New Roman"/>
        </w:rPr>
        <w:t>customizační</w:t>
      </w:r>
      <w:proofErr w:type="spellEnd"/>
      <w:r w:rsidRPr="008D4022">
        <w:rPr>
          <w:rFonts w:eastAsia="Calibri" w:cs="Times New Roman"/>
        </w:rPr>
        <w:t xml:space="preserve"> tabulce.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999"/>
        <w:contextualSpacing/>
        <w:jc w:val="both"/>
        <w:rPr>
          <w:rFonts w:eastAsia="Calibri" w:cs="Verdana"/>
          <w:b/>
          <w:color w:val="000000"/>
          <w:szCs w:val="20"/>
        </w:rPr>
      </w:pP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Provádění technické kontroly speciálního hnacího vozidla/speciálního taženého vozidla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T+45 dní.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Popis požadavku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Zadávání dokumentů se bude zadávat jako příloha k hlášení údržby. Bude existovat speciální druh hlášení (v budoucnu speciální druh zakázky). Technicky bude na hlášení (zakázce) tlačítko „Založit </w:t>
      </w:r>
      <w:proofErr w:type="gramStart"/>
      <w:r w:rsidRPr="008D4022">
        <w:rPr>
          <w:rFonts w:eastAsia="Calibri" w:cs="Times New Roman"/>
        </w:rPr>
        <w:t>protokol o TK</w:t>
      </w:r>
      <w:proofErr w:type="gramEnd"/>
      <w:r w:rsidRPr="008D4022">
        <w:rPr>
          <w:rFonts w:eastAsia="Calibri" w:cs="Times New Roman"/>
        </w:rPr>
        <w:t xml:space="preserve">“. Pomocí tohoto tlačítka </w:t>
      </w:r>
      <w:proofErr w:type="gramStart"/>
      <w:r w:rsidRPr="008D4022">
        <w:rPr>
          <w:rFonts w:eastAsia="Calibri" w:cs="Times New Roman"/>
        </w:rPr>
        <w:t>bude</w:t>
      </w:r>
      <w:proofErr w:type="gramEnd"/>
      <w:r w:rsidRPr="008D4022">
        <w:rPr>
          <w:rFonts w:eastAsia="Calibri" w:cs="Times New Roman"/>
        </w:rPr>
        <w:t xml:space="preserve"> přiložen protokol z </w:t>
      </w:r>
      <w:proofErr w:type="gramStart"/>
      <w:r w:rsidRPr="008D4022">
        <w:rPr>
          <w:rFonts w:eastAsia="Calibri" w:cs="Times New Roman"/>
        </w:rPr>
        <w:t>TK</w:t>
      </w:r>
      <w:proofErr w:type="gramEnd"/>
      <w:r w:rsidRPr="008D4022">
        <w:rPr>
          <w:rFonts w:eastAsia="Calibri" w:cs="Times New Roman"/>
        </w:rPr>
        <w:t xml:space="preserve">. Požadavkem je, aby </w:t>
      </w:r>
      <w:proofErr w:type="gramStart"/>
      <w:r w:rsidRPr="008D4022">
        <w:rPr>
          <w:rFonts w:eastAsia="Calibri" w:cs="Times New Roman"/>
        </w:rPr>
        <w:t>protokol z TK</w:t>
      </w:r>
      <w:proofErr w:type="gramEnd"/>
      <w:r w:rsidRPr="008D4022">
        <w:rPr>
          <w:rFonts w:eastAsia="Calibri" w:cs="Times New Roman"/>
        </w:rPr>
        <w:t>, byl samostatným druhem dokumentu pro lepší vyhledávání. Založení nového druhu DMS dokumentu je součástí požadavku. Dokument bude současně dostupný z karty vozidla. Na kartě vozidla a na hlášení bude samostatná záložka Dokumenty (případně jiný vhodný nástroj, kde budou dostupné všechny dokumenty k objektu).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Pozn. Záložka Dokumenty je již dostupná na TM typ R (Nastavení TM pro </w:t>
      </w:r>
      <w:proofErr w:type="gramStart"/>
      <w:r w:rsidRPr="008D4022">
        <w:rPr>
          <w:rFonts w:eastAsia="Calibri" w:cs="Times New Roman"/>
        </w:rPr>
        <w:t>REM</w:t>
      </w:r>
      <w:proofErr w:type="gramEnd"/>
      <w:r w:rsidRPr="008D4022">
        <w:rPr>
          <w:rFonts w:eastAsia="Calibri" w:cs="Times New Roman"/>
        </w:rPr>
        <w:t>) – viz  obrázek níže.</w:t>
      </w:r>
      <w:bookmarkStart w:id="41" w:name="_GoBack"/>
      <w:bookmarkEnd w:id="41"/>
    </w:p>
    <w:p w:rsidR="008D4022" w:rsidRPr="008D4022" w:rsidRDefault="008D4022" w:rsidP="008D4022">
      <w:pPr>
        <w:ind w:left="142"/>
        <w:jc w:val="both"/>
        <w:rPr>
          <w:rFonts w:eastAsia="Calibri" w:cs="Times New Roman"/>
        </w:rPr>
      </w:pPr>
      <w:r w:rsidRPr="008D4022">
        <w:rPr>
          <w:rFonts w:eastAsia="Calibri" w:cs="Times New Roman"/>
          <w:noProof/>
          <w:lang w:eastAsia="cs-CZ"/>
        </w:rPr>
        <w:lastRenderedPageBreak/>
        <w:drawing>
          <wp:inline distT="0" distB="0" distL="0" distR="0" wp14:anchorId="16064621" wp14:editId="09BD0D53">
            <wp:extent cx="5760720" cy="5496560"/>
            <wp:effectExtent l="0" t="0" r="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9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Provádění periodické revize vozidla speciálního hnacího vozidla/speciálního taženého vozidla/speciálního taženého vozidla ZPK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T+45 dní.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Popis požadavku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Zadávání dokumentů se bude zadávat jako příloha k hlášení údržby. Bude existovat speciální druh hlášení (v budoucnu speciální druh zakázky). Technicky bude na hlášení (zakázce) tlačítko „Založit protokol o revizi“. Pomocí tohoto tlačítka bude přiložen protokol z Revize. Požadavkem je, aby protokol z Revize byl samostatným druhem dokumentu pro lepší vyhledávání. Založení nového druhu DMS dokumentu je součástí požadavku. Dokument bude současně dostupný z karty vozidla. Na kartě vozidla a na hlášení bude samostatná záložka Dokumenty (případně jiný vhodný nástroj, kde budou dostupné všechny dokumenty k objektu).</w:t>
      </w: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lastRenderedPageBreak/>
        <w:t>Vytvoření zákaznické záložky pro TM, Vybavení – „Objekty údržby“, který bude obsahovat objekty typu Zakázka, hlášení údržby, včetně statusů, které se budou vztahovat k danému objektu TM (Vybavení).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8D4022" w:rsidRPr="008D4022" w:rsidRDefault="008D4022" w:rsidP="008D4022">
      <w:pPr>
        <w:spacing w:after="0"/>
        <w:ind w:left="357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T+45 dní.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Popis požadavku</w:t>
      </w: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  <w:proofErr w:type="gramStart"/>
      <w:r w:rsidRPr="008D4022">
        <w:rPr>
          <w:rFonts w:eastAsia="Calibri" w:cs="Times New Roman"/>
        </w:rPr>
        <w:t>Záložka</w:t>
      </w:r>
      <w:proofErr w:type="gramEnd"/>
      <w:r w:rsidRPr="008D4022">
        <w:rPr>
          <w:rFonts w:eastAsia="Calibri" w:cs="Times New Roman"/>
        </w:rPr>
        <w:t xml:space="preserve"> bude sloužit pro rychlejší přehled úkonů údržby, které se vážkou k TM (</w:t>
      </w:r>
      <w:proofErr w:type="gramStart"/>
      <w:r w:rsidRPr="008D4022">
        <w:rPr>
          <w:rFonts w:eastAsia="Calibri" w:cs="Times New Roman"/>
        </w:rPr>
        <w:t>vybavení).</w:t>
      </w:r>
      <w:proofErr w:type="gramEnd"/>
      <w:r w:rsidRPr="008D4022">
        <w:rPr>
          <w:rFonts w:eastAsia="Calibri" w:cs="Times New Roman"/>
        </w:rPr>
        <w:t xml:space="preserve"> Zobrazeny budou hlášení a zakázky údržby, včetně jejich statusu.  Na této či další zákaznické záložce bude též přehled týkající se plánované údržby. Termíny posledních prohlídek a pravděpodobné termíny nejbližších plánovaných termínů. Funkční tlačítka umožní filtraci v seznamu objektů. Z čísla objektu (zakázka, hlášení) bude možné otevření samotného objektu.</w:t>
      </w: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Informace o posledních a nejbližších prohlídkách ve formě odkazu na hlášení a zakázky a informace o termínech posledních a nejbližších prohlídek budou doplněny např. pomocí standardních </w:t>
      </w:r>
      <w:proofErr w:type="spellStart"/>
      <w:r w:rsidRPr="008D4022">
        <w:rPr>
          <w:rFonts w:eastAsia="Calibri" w:cs="Times New Roman"/>
        </w:rPr>
        <w:t>UserExitů</w:t>
      </w:r>
      <w:proofErr w:type="spellEnd"/>
      <w:r w:rsidRPr="008D4022">
        <w:rPr>
          <w:rFonts w:eastAsia="Calibri" w:cs="Times New Roman"/>
        </w:rPr>
        <w:t xml:space="preserve"> do nové záložky do samostatných "</w:t>
      </w:r>
      <w:proofErr w:type="spellStart"/>
      <w:r w:rsidRPr="008D4022">
        <w:rPr>
          <w:rFonts w:eastAsia="Calibri" w:cs="Times New Roman"/>
        </w:rPr>
        <w:t>subscreenů</w:t>
      </w:r>
      <w:proofErr w:type="spellEnd"/>
      <w:r w:rsidRPr="008D4022">
        <w:rPr>
          <w:rFonts w:eastAsia="Calibri" w:cs="Times New Roman"/>
        </w:rPr>
        <w:t xml:space="preserve">". Data budou načítána </w:t>
      </w:r>
      <w:proofErr w:type="spellStart"/>
      <w:r w:rsidRPr="008D4022">
        <w:rPr>
          <w:rFonts w:eastAsia="Calibri" w:cs="Times New Roman"/>
        </w:rPr>
        <w:t>adhoc</w:t>
      </w:r>
      <w:proofErr w:type="spellEnd"/>
      <w:r w:rsidRPr="008D4022">
        <w:rPr>
          <w:rFonts w:eastAsia="Calibri" w:cs="Times New Roman"/>
        </w:rPr>
        <w:t>, při zobrazení daného vybavení a záložky, podle aktuálního stavu hlášení/zakázky.</w:t>
      </w:r>
    </w:p>
    <w:p w:rsidR="008D4022" w:rsidRPr="008D4022" w:rsidRDefault="008D4022" w:rsidP="008D4022">
      <w:pPr>
        <w:jc w:val="both"/>
        <w:rPr>
          <w:rFonts w:eastAsia="Calibri" w:cs="Times New Roman"/>
        </w:rPr>
      </w:pP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Zákaznická úprava reportu na základě standardní transakce IP24 – Přehled termínů údržby</w:t>
      </w:r>
    </w:p>
    <w:p w:rsidR="008D4022" w:rsidRPr="008D4022" w:rsidRDefault="008D4022" w:rsidP="008D4022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T+45 dní.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Popis požadavku</w:t>
      </w: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Doplnění semaforů pro lepší orientaci v blížících se termínech údržby. Semafor bude reagovat na porovnání plánované datum údržby (spočítané plánem) x aktuální datum. (např. zelená – delší než 1M, oranžová – 14 dnů do prohlídky, červená – propadlý termín)</w:t>
      </w: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Vytvoření programu pro rozesílání avíz o blížících se termínech údržby na zodpovědné osoby za údržbu vozidel</w:t>
      </w:r>
    </w:p>
    <w:p w:rsidR="008D4022" w:rsidRPr="008D4022" w:rsidRDefault="008D4022" w:rsidP="008D4022">
      <w:pPr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 xml:space="preserve"> 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T+45 dní.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Popis požadavku</w:t>
      </w:r>
    </w:p>
    <w:p w:rsidR="008D4022" w:rsidRPr="008D4022" w:rsidRDefault="008D4022" w:rsidP="008D4022">
      <w:pPr>
        <w:ind w:left="720"/>
        <w:contextualSpacing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Report bude podle stanovených kritérií rozesílat seznam s avízy o blížících se termínech údržby. Avíza budou rozesílána do MS Outlook v rámci firemní pošty. Seznam příjemců bude dle odpovědných osob na kartě vozidla, případně bude stanoveno jiné kritérium.</w:t>
      </w: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Poznámka: Funkcionalita odesílání mailů ze SAP je v SŽ nastavena</w:t>
      </w:r>
    </w:p>
    <w:p w:rsidR="008D4022" w:rsidRPr="008D4022" w:rsidRDefault="008D4022" w:rsidP="008D4022">
      <w:pPr>
        <w:ind w:left="720"/>
        <w:jc w:val="both"/>
        <w:rPr>
          <w:rFonts w:eastAsia="Calibri" w:cs="Times New Roman"/>
        </w:rPr>
      </w:pPr>
    </w:p>
    <w:p w:rsidR="008D4022" w:rsidRPr="008D4022" w:rsidRDefault="008D4022" w:rsidP="008D40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8D4022">
        <w:rPr>
          <w:rFonts w:eastAsia="Times New Roman" w:cs="Times New Roman"/>
          <w:b/>
          <w:bCs/>
          <w:color w:val="4F81BD"/>
        </w:rPr>
        <w:t>Dodávka konzultantských a programátorských prací pro modul SAP PM</w:t>
      </w:r>
    </w:p>
    <w:p w:rsidR="008D4022" w:rsidRPr="008D4022" w:rsidRDefault="008D4022" w:rsidP="008D4022">
      <w:pPr>
        <w:widowControl w:val="0"/>
        <w:suppressAutoHyphens/>
        <w:spacing w:line="240" w:lineRule="auto"/>
        <w:jc w:val="center"/>
        <w:rPr>
          <w:rFonts w:ascii="Lucida Grande" w:eastAsia="Arial Unicode MS" w:hAnsi="Lucida Grande" w:cs="Mangal"/>
          <w:i/>
          <w:iCs/>
          <w:color w:val="1F497D"/>
          <w:sz w:val="18"/>
          <w:szCs w:val="16"/>
          <w:lang w:eastAsia="hi-IN" w:bidi="hi-IN"/>
        </w:rPr>
      </w:pPr>
    </w:p>
    <w:p w:rsidR="008D4022" w:rsidRPr="008D4022" w:rsidRDefault="008D4022" w:rsidP="008D4022">
      <w:pPr>
        <w:ind w:left="360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Termín splnění T+90 dní.</w:t>
      </w:r>
    </w:p>
    <w:p w:rsidR="008D4022" w:rsidRPr="008D4022" w:rsidRDefault="008D4022" w:rsidP="008D4022">
      <w:pPr>
        <w:widowControl w:val="0"/>
        <w:suppressAutoHyphens/>
        <w:spacing w:line="240" w:lineRule="auto"/>
        <w:jc w:val="center"/>
        <w:rPr>
          <w:rFonts w:ascii="Lucida Grande" w:eastAsia="Arial Unicode MS" w:hAnsi="Lucida Grande" w:cs="Mangal"/>
          <w:i/>
          <w:iCs/>
          <w:color w:val="1F497D"/>
          <w:sz w:val="18"/>
          <w:szCs w:val="16"/>
          <w:lang w:eastAsia="hi-IN" w:bidi="hi-IN"/>
        </w:rPr>
      </w:pPr>
    </w:p>
    <w:p w:rsidR="008D4022" w:rsidRPr="008D4022" w:rsidRDefault="008D4022" w:rsidP="008D4022">
      <w:pPr>
        <w:ind w:firstLine="708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Dodávka konzultantských a programátorských prací v rámci podpory optimalizace řešení, návrhy dalšího rozvoje, testování, opravování zjištěných chyb, a dalších prací spojených s řešením v maximálním rozsahu 10 MD (MD – člověkoden). Čerpání bude prostřednictvím vystavených objednávek.</w:t>
      </w:r>
    </w:p>
    <w:p w:rsidR="008D4022" w:rsidRPr="008D4022" w:rsidRDefault="008D4022" w:rsidP="008D4022">
      <w:pPr>
        <w:ind w:firstLine="708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Dodavatel nabídne cenu za MD při možnosti fakturace v hodinách. Zadavatel požaduje, aby účastník uvedl cenu za 1 MD (=8 hodin práce konzultanta a obsahuje veškeré náklady spojené s plněním dílčí objednávky) plnění předmětu této veřejné zakázky, v české měně (Koruna česká), v členění bez daně z přidané hodnoty (DPH), samostatně příslušná výše DPH a včetně DPH.</w:t>
      </w:r>
    </w:p>
    <w:p w:rsidR="008D4022" w:rsidRPr="008D4022" w:rsidRDefault="008D4022" w:rsidP="008D4022">
      <w:pPr>
        <w:ind w:firstLine="708"/>
        <w:jc w:val="both"/>
        <w:rPr>
          <w:rFonts w:eastAsia="Calibri" w:cs="Times New Roman"/>
        </w:rPr>
      </w:pPr>
      <w:r w:rsidRPr="008D4022">
        <w:rPr>
          <w:rFonts w:eastAsia="Calibri" w:cs="Times New Roman"/>
        </w:rPr>
        <w:t>Nabídková cena účastníka za 1 MD plnění předmětu této veřejné zakázky musí být v nabídce účastníkem garantována jako cena maximální a nepřekročitelná, konečná, zahrnující veškeré náklady účastníka spojené s plněním předmětu této veřejné zakázky.</w:t>
      </w:r>
    </w:p>
    <w:p w:rsidR="008D4022" w:rsidRPr="008D4022" w:rsidRDefault="008D4022" w:rsidP="008D4022">
      <w:pPr>
        <w:widowControl w:val="0"/>
        <w:suppressAutoHyphens/>
        <w:spacing w:line="240" w:lineRule="auto"/>
        <w:jc w:val="center"/>
        <w:rPr>
          <w:rFonts w:ascii="Lucida Grande" w:eastAsia="Arial Unicode MS" w:hAnsi="Lucida Grande" w:cs="Mangal"/>
          <w:i/>
          <w:iCs/>
          <w:color w:val="1F497D"/>
          <w:sz w:val="18"/>
          <w:szCs w:val="16"/>
          <w:lang w:eastAsia="hi-IN" w:bidi="hi-IN"/>
        </w:rPr>
      </w:pPr>
    </w:p>
    <w:p w:rsidR="008D4022" w:rsidRPr="008D4022" w:rsidRDefault="008D4022" w:rsidP="008D4022">
      <w:pPr>
        <w:widowControl w:val="0"/>
        <w:suppressAutoHyphens/>
        <w:spacing w:line="240" w:lineRule="auto"/>
        <w:jc w:val="center"/>
        <w:rPr>
          <w:rFonts w:ascii="Lucida Grande" w:eastAsia="Arial Unicode MS" w:hAnsi="Lucida Grande" w:cs="Mangal"/>
          <w:i/>
          <w:iCs/>
          <w:color w:val="1F497D"/>
          <w:sz w:val="18"/>
          <w:szCs w:val="16"/>
          <w:lang w:eastAsia="hi-IN" w:bidi="hi-IN"/>
        </w:rPr>
      </w:pPr>
    </w:p>
    <w:p w:rsidR="008D4022" w:rsidRPr="008D4022" w:rsidRDefault="008D4022" w:rsidP="008D4022">
      <w:pPr>
        <w:widowControl w:val="0"/>
        <w:suppressAutoHyphens/>
        <w:spacing w:line="240" w:lineRule="auto"/>
        <w:jc w:val="center"/>
        <w:rPr>
          <w:rFonts w:ascii="Lucida Grande" w:eastAsia="Arial Unicode MS" w:hAnsi="Lucida Grande" w:cs="Mangal"/>
          <w:i/>
          <w:iCs/>
          <w:color w:val="1F497D"/>
          <w:sz w:val="18"/>
          <w:szCs w:val="16"/>
          <w:lang w:eastAsia="hi-IN" w:bidi="hi-IN"/>
        </w:rPr>
      </w:pPr>
    </w:p>
    <w:p w:rsidR="008D4022" w:rsidRPr="007139D4" w:rsidRDefault="008D4022" w:rsidP="008D4022">
      <w:pPr>
        <w:pStyle w:val="Odstavecseseznamem"/>
        <w:ind w:left="-567"/>
        <w:rPr>
          <w:sz w:val="18"/>
          <w:szCs w:val="18"/>
        </w:rPr>
      </w:pPr>
    </w:p>
    <w:sectPr w:rsidR="008D4022" w:rsidRPr="007139D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402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402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40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402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E6076AB"/>
    <w:multiLevelType w:val="hybridMultilevel"/>
    <w:tmpl w:val="0AFEF0B0"/>
    <w:lvl w:ilvl="0" w:tplc="8BB2B0B8">
      <w:start w:val="2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BC3F5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B59" w:themeColor="accent1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022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0A09FF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3F6A31-770C-41D5-9236-3F30BBBD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5</Pages>
  <Words>932</Words>
  <Characters>5504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2021-09-29T08:21:00Z</dcterms:created>
  <dcterms:modified xsi:type="dcterms:W3CDTF">2022-09-23T10:39:00Z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